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88708" w14:textId="3F7FE9AA" w:rsidR="00727FE1" w:rsidRDefault="00727FE1">
      <w:pPr>
        <w:pBdr>
          <w:top w:val="none" w:sz="4" w:space="0" w:color="000000"/>
          <w:left w:val="none" w:sz="4" w:space="0" w:color="000000"/>
          <w:bottom w:val="none" w:sz="4" w:space="0" w:color="000000"/>
          <w:right w:val="none" w:sz="4" w:space="0" w:color="000000"/>
        </w:pBdr>
        <w:spacing w:after="0"/>
        <w:jc w:val="right"/>
        <w:rPr>
          <w:rFonts w:ascii="Times New Roman" w:eastAsia="Times New Roman" w:hAnsi="Times New Roman" w:cs="Times New Roman"/>
          <w:color w:val="000000"/>
          <w:sz w:val="28"/>
        </w:rPr>
      </w:pPr>
    </w:p>
    <w:p w14:paraId="2E513678" w14:textId="77777777" w:rsidR="00727FE1" w:rsidRDefault="00727FE1">
      <w:pPr>
        <w:pBdr>
          <w:top w:val="none" w:sz="4" w:space="0" w:color="000000"/>
          <w:left w:val="none" w:sz="4" w:space="0" w:color="000000"/>
          <w:bottom w:val="none" w:sz="4" w:space="0" w:color="000000"/>
          <w:right w:val="none" w:sz="4" w:space="0" w:color="000000"/>
        </w:pBdr>
        <w:spacing w:after="0" w:line="240" w:lineRule="auto"/>
        <w:jc w:val="right"/>
        <w:rPr>
          <w:rFonts w:ascii="Times New Roman" w:eastAsia="Times New Roman" w:hAnsi="Times New Roman" w:cs="Times New Roman"/>
          <w:color w:val="000000"/>
          <w:sz w:val="28"/>
        </w:rPr>
      </w:pPr>
    </w:p>
    <w:p w14:paraId="7CA3571B" w14:textId="77777777" w:rsidR="00727FE1" w:rsidRDefault="00000000">
      <w:pPr>
        <w:pBdr>
          <w:top w:val="none" w:sz="4" w:space="0" w:color="000000"/>
          <w:left w:val="none" w:sz="4" w:space="0" w:color="000000"/>
          <w:bottom w:val="none" w:sz="4" w:space="0" w:color="000000"/>
          <w:right w:val="none" w:sz="4" w:space="0" w:color="000000"/>
        </w:pBdr>
        <w:spacing w:after="0" w:line="240" w:lineRule="auto"/>
        <w:ind w:firstLine="5669"/>
      </w:pPr>
      <w:r>
        <w:rPr>
          <w:rFonts w:ascii="Times New Roman" w:eastAsia="Times New Roman" w:hAnsi="Times New Roman" w:cs="Times New Roman"/>
          <w:b/>
          <w:color w:val="000000"/>
          <w:sz w:val="28"/>
        </w:rPr>
        <w:t xml:space="preserve">«Ұлттық мемлекеттік </w:t>
      </w:r>
      <w:r>
        <w:rPr>
          <w:rFonts w:ascii="Times New Roman" w:eastAsia="Times New Roman" w:hAnsi="Times New Roman" w:cs="Times New Roman"/>
          <w:color w:val="000000"/>
          <w:sz w:val="28"/>
        </w:rPr>
        <w:t xml:space="preserve">                                                             </w:t>
      </w:r>
    </w:p>
    <w:p w14:paraId="2151ABE2" w14:textId="77777777" w:rsidR="00727FE1" w:rsidRDefault="00000000">
      <w:pPr>
        <w:pBdr>
          <w:top w:val="none" w:sz="4" w:space="0" w:color="000000"/>
          <w:left w:val="none" w:sz="4" w:space="0" w:color="000000"/>
          <w:bottom w:val="none" w:sz="4" w:space="0" w:color="000000"/>
          <w:right w:val="none" w:sz="4" w:space="0" w:color="000000"/>
        </w:pBdr>
        <w:spacing w:after="0" w:line="240" w:lineRule="auto"/>
        <w:ind w:firstLine="5669"/>
      </w:pPr>
      <w:r>
        <w:rPr>
          <w:rFonts w:ascii="Times New Roman" w:eastAsia="Times New Roman" w:hAnsi="Times New Roman" w:cs="Times New Roman"/>
          <w:b/>
          <w:color w:val="000000"/>
          <w:sz w:val="28"/>
        </w:rPr>
        <w:t xml:space="preserve"> ғылыми-техникалық </w:t>
      </w:r>
    </w:p>
    <w:p w14:paraId="553BC75B" w14:textId="77777777" w:rsidR="00727FE1" w:rsidRDefault="00000000">
      <w:pPr>
        <w:pBdr>
          <w:top w:val="none" w:sz="4" w:space="0" w:color="000000"/>
          <w:left w:val="none" w:sz="4" w:space="0" w:color="000000"/>
          <w:bottom w:val="none" w:sz="4" w:space="0" w:color="000000"/>
          <w:right w:val="none" w:sz="4" w:space="0" w:color="000000"/>
        </w:pBdr>
        <w:spacing w:after="0" w:line="240" w:lineRule="auto"/>
        <w:ind w:firstLine="5669"/>
      </w:pPr>
      <w:r>
        <w:rPr>
          <w:rFonts w:ascii="Times New Roman" w:eastAsia="Times New Roman" w:hAnsi="Times New Roman" w:cs="Times New Roman"/>
          <w:b/>
          <w:color w:val="000000"/>
          <w:sz w:val="28"/>
        </w:rPr>
        <w:t> сараптама  орталығы</w:t>
      </w:r>
      <w:r>
        <w:rPr>
          <w:rFonts w:ascii="Times New Roman" w:eastAsia="Times New Roman" w:hAnsi="Times New Roman" w:cs="Times New Roman"/>
          <w:color w:val="000000"/>
          <w:sz w:val="28"/>
        </w:rPr>
        <w:t>»</w:t>
      </w:r>
      <w:r>
        <w:rPr>
          <w:rFonts w:ascii="Times New Roman" w:eastAsia="Times New Roman" w:hAnsi="Times New Roman" w:cs="Times New Roman"/>
          <w:b/>
          <w:color w:val="000000"/>
          <w:sz w:val="28"/>
        </w:rPr>
        <w:t xml:space="preserve"> АҚ</w:t>
      </w:r>
    </w:p>
    <w:p w14:paraId="715BC81F" w14:textId="77777777" w:rsidR="00727FE1" w:rsidRDefault="00000000">
      <w:pPr>
        <w:pBdr>
          <w:top w:val="none" w:sz="4" w:space="0" w:color="000000"/>
          <w:left w:val="none" w:sz="4" w:space="0" w:color="000000"/>
          <w:bottom w:val="none" w:sz="4" w:space="0" w:color="000000"/>
          <w:right w:val="none" w:sz="4" w:space="0" w:color="000000"/>
        </w:pBdr>
        <w:spacing w:after="0" w:line="240" w:lineRule="auto"/>
        <w:jc w:val="center"/>
      </w:pPr>
      <w:r>
        <w:rPr>
          <w:color w:val="000000"/>
        </w:rPr>
        <w:t> </w:t>
      </w:r>
    </w:p>
    <w:p w14:paraId="691933D6" w14:textId="77777777" w:rsidR="00727FE1" w:rsidRDefault="00000000">
      <w:pPr>
        <w:pBdr>
          <w:top w:val="none" w:sz="4" w:space="0" w:color="000000"/>
          <w:left w:val="none" w:sz="4" w:space="0" w:color="000000"/>
          <w:bottom w:val="none" w:sz="4" w:space="0" w:color="000000"/>
          <w:right w:val="none" w:sz="4" w:space="0" w:color="000000"/>
        </w:pBdr>
        <w:spacing w:after="0" w:line="240" w:lineRule="auto"/>
        <w:jc w:val="right"/>
      </w:pPr>
      <w:r>
        <w:rPr>
          <w:rFonts w:ascii="Times New Roman" w:eastAsia="Times New Roman" w:hAnsi="Times New Roman" w:cs="Times New Roman"/>
          <w:b/>
          <w:color w:val="000000"/>
          <w:sz w:val="28"/>
        </w:rPr>
        <w:t>                </w:t>
      </w:r>
      <w:r>
        <w:rPr>
          <w:rFonts w:ascii="Times New Roman" w:eastAsia="Times New Roman" w:hAnsi="Times New Roman" w:cs="Times New Roman"/>
          <w:color w:val="000000"/>
          <w:sz w:val="28"/>
        </w:rPr>
        <w:t> </w:t>
      </w:r>
    </w:p>
    <w:p w14:paraId="06E68C36" w14:textId="77777777" w:rsidR="00727FE1" w:rsidRDefault="00000000">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ab/>
        <w:t>Әл-Фараби атындағы Қазақ ұлттық университеті қарамағында ашылған «6D060100 (8D05401) – Математика», «6D070500 (8D06104) – Математикалық</w:t>
      </w:r>
      <w:r>
        <w:rPr>
          <w:rFonts w:ascii="Times New Roman" w:eastAsia="Times New Roman" w:hAnsi="Times New Roman" w:cs="Times New Roman"/>
          <w:color w:val="000000"/>
          <w:sz w:val="28"/>
        </w:rPr>
        <w:br/>
        <w:t>және компьютерлік моделдеу» мамандықтар тобы/білім беру бағдарламалары бойынша диссертациялық кеңес «6D060100–Математика» мамандығы  бойынша философия докторы (PhD) дәрежесіне іздену үшін 2023 жылы 15 қыркүйектеқорғаған Жанузакова Динара Таупиховнаның «Фильтрация теориясының тура және кері есептерін жуықтап шешу әдістері»  атты диссертациясын  мемлекеттік тіркеуге жолдап отыр.</w:t>
      </w:r>
    </w:p>
    <w:p w14:paraId="559DA392" w14:textId="77777777" w:rsidR="00727FE1" w:rsidRDefault="00000000">
      <w:pPr>
        <w:pBdr>
          <w:top w:val="none" w:sz="4" w:space="0" w:color="000000"/>
          <w:left w:val="none" w:sz="4" w:space="0" w:color="000000"/>
          <w:bottom w:val="none" w:sz="4" w:space="0" w:color="000000"/>
          <w:right w:val="none" w:sz="4" w:space="0" w:color="000000"/>
        </w:pBdr>
        <w:spacing w:after="0" w:line="240" w:lineRule="auto"/>
      </w:pPr>
      <w:r>
        <w:rPr>
          <w:rFonts w:ascii="Times New Roman" w:eastAsia="Times New Roman" w:hAnsi="Times New Roman" w:cs="Times New Roman"/>
          <w:color w:val="000000"/>
          <w:sz w:val="28"/>
        </w:rPr>
        <w:t>       Қосымша:</w:t>
      </w:r>
    </w:p>
    <w:p w14:paraId="1B98FB79" w14:textId="77777777" w:rsidR="00727FE1" w:rsidRDefault="00000000">
      <w:pPr>
        <w:pBdr>
          <w:top w:val="none" w:sz="4" w:space="0" w:color="000000"/>
          <w:left w:val="none" w:sz="4" w:space="0" w:color="000000"/>
          <w:bottom w:val="none" w:sz="4" w:space="0" w:color="000000"/>
          <w:right w:val="none" w:sz="4" w:space="0" w:color="000000"/>
        </w:pBdr>
        <w:spacing w:after="0" w:line="240" w:lineRule="auto"/>
      </w:pPr>
      <w:r>
        <w:rPr>
          <w:rFonts w:ascii="Times New Roman" w:eastAsia="Times New Roman" w:hAnsi="Times New Roman" w:cs="Times New Roman"/>
          <w:color w:val="000000"/>
          <w:sz w:val="28"/>
        </w:rPr>
        <w:t>       ДЕК мемлекеттік тілде –3дана;</w:t>
      </w:r>
    </w:p>
    <w:p w14:paraId="56F405DB" w14:textId="77777777" w:rsidR="00727FE1" w:rsidRDefault="00000000">
      <w:pPr>
        <w:pBdr>
          <w:top w:val="none" w:sz="4" w:space="0" w:color="000000"/>
          <w:left w:val="none" w:sz="4" w:space="0" w:color="000000"/>
          <w:bottom w:val="none" w:sz="4" w:space="0" w:color="000000"/>
          <w:right w:val="none" w:sz="4" w:space="0" w:color="000000"/>
        </w:pBdr>
        <w:spacing w:after="0" w:line="240" w:lineRule="auto"/>
      </w:pPr>
      <w:r>
        <w:rPr>
          <w:rFonts w:ascii="Times New Roman" w:eastAsia="Times New Roman" w:hAnsi="Times New Roman" w:cs="Times New Roman"/>
          <w:color w:val="000000"/>
          <w:sz w:val="28"/>
        </w:rPr>
        <w:t xml:space="preserve">       ДЕК орыс тілінде – 3 дана; </w:t>
      </w:r>
    </w:p>
    <w:p w14:paraId="6A918589" w14:textId="77777777" w:rsidR="00727FE1" w:rsidRDefault="00000000">
      <w:pPr>
        <w:pBdr>
          <w:top w:val="none" w:sz="4" w:space="0" w:color="000000"/>
          <w:left w:val="none" w:sz="4" w:space="0" w:color="000000"/>
          <w:bottom w:val="none" w:sz="4" w:space="0" w:color="000000"/>
          <w:right w:val="none" w:sz="4" w:space="0" w:color="000000"/>
        </w:pBdr>
        <w:spacing w:after="0" w:line="240" w:lineRule="auto"/>
      </w:pPr>
      <w:r>
        <w:rPr>
          <w:rFonts w:ascii="Times New Roman" w:eastAsia="Times New Roman" w:hAnsi="Times New Roman" w:cs="Times New Roman"/>
          <w:color w:val="000000"/>
          <w:sz w:val="28"/>
        </w:rPr>
        <w:t>       Диссертация – 1 дана;</w:t>
      </w:r>
    </w:p>
    <w:p w14:paraId="6BBCD6F2" w14:textId="77777777" w:rsidR="00727FE1" w:rsidRDefault="00000000">
      <w:pPr>
        <w:pBdr>
          <w:top w:val="none" w:sz="4" w:space="0" w:color="000000"/>
          <w:left w:val="none" w:sz="4" w:space="0" w:color="000000"/>
          <w:bottom w:val="none" w:sz="4" w:space="0" w:color="000000"/>
          <w:right w:val="none" w:sz="4" w:space="0" w:color="000000"/>
        </w:pBdr>
        <w:spacing w:after="0" w:line="240" w:lineRule="auto"/>
      </w:pPr>
      <w:r>
        <w:rPr>
          <w:rFonts w:ascii="Times New Roman" w:eastAsia="Times New Roman" w:hAnsi="Times New Roman" w:cs="Times New Roman"/>
          <w:color w:val="000000"/>
          <w:sz w:val="28"/>
        </w:rPr>
        <w:t>       Аннотация 3 тілде – 1 данадан;</w:t>
      </w:r>
    </w:p>
    <w:p w14:paraId="468EFD9F" w14:textId="77777777" w:rsidR="00727FE1" w:rsidRDefault="00000000">
      <w:pPr>
        <w:pBdr>
          <w:top w:val="none" w:sz="4" w:space="0" w:color="000000"/>
          <w:left w:val="none" w:sz="4" w:space="0" w:color="000000"/>
          <w:bottom w:val="none" w:sz="4" w:space="0" w:color="000000"/>
          <w:right w:val="none" w:sz="4" w:space="0" w:color="000000"/>
        </w:pBdr>
        <w:spacing w:after="0" w:line="240" w:lineRule="auto"/>
      </w:pPr>
      <w:r>
        <w:rPr>
          <w:rFonts w:ascii="Times New Roman" w:eastAsia="Times New Roman" w:hAnsi="Times New Roman" w:cs="Times New Roman"/>
          <w:color w:val="000000"/>
          <w:sz w:val="28"/>
        </w:rPr>
        <w:t>       Еңбектер тізімі – 1 дана;</w:t>
      </w:r>
    </w:p>
    <w:p w14:paraId="76A49267" w14:textId="77777777" w:rsidR="00727FE1" w:rsidRDefault="00000000">
      <w:pPr>
        <w:pBdr>
          <w:top w:val="none" w:sz="4" w:space="0" w:color="000000"/>
          <w:left w:val="none" w:sz="4" w:space="0" w:color="000000"/>
          <w:bottom w:val="none" w:sz="4" w:space="0" w:color="000000"/>
          <w:right w:val="none" w:sz="4" w:space="0" w:color="000000"/>
        </w:pBdr>
        <w:spacing w:after="0" w:line="240" w:lineRule="auto"/>
      </w:pPr>
      <w:r>
        <w:rPr>
          <w:rFonts w:ascii="Times New Roman" w:eastAsia="Times New Roman" w:hAnsi="Times New Roman" w:cs="Times New Roman"/>
          <w:color w:val="000000"/>
          <w:sz w:val="28"/>
        </w:rPr>
        <w:t>       CD-диск – 1 дана.</w:t>
      </w:r>
    </w:p>
    <w:p w14:paraId="22916ADD" w14:textId="77777777" w:rsidR="00727FE1" w:rsidRDefault="00000000">
      <w:pPr>
        <w:pBdr>
          <w:top w:val="none" w:sz="4" w:space="0" w:color="000000"/>
          <w:left w:val="none" w:sz="4" w:space="0" w:color="000000"/>
          <w:bottom w:val="none" w:sz="4" w:space="0" w:color="000000"/>
          <w:right w:val="none" w:sz="4" w:space="0" w:color="000000"/>
        </w:pBdr>
        <w:spacing w:after="0"/>
        <w:ind w:firstLine="567"/>
        <w:jc w:val="both"/>
      </w:pPr>
      <w:r>
        <w:rPr>
          <w:color w:val="000000"/>
        </w:rPr>
        <w:t> </w:t>
      </w:r>
    </w:p>
    <w:p w14:paraId="3FBD5410" w14:textId="77777777" w:rsidR="00727FE1" w:rsidRDefault="00000000">
      <w:pPr>
        <w:pBdr>
          <w:top w:val="none" w:sz="4" w:space="0" w:color="000000"/>
          <w:left w:val="none" w:sz="4" w:space="0" w:color="000000"/>
          <w:bottom w:val="none" w:sz="4" w:space="0" w:color="000000"/>
          <w:right w:val="none" w:sz="4" w:space="0" w:color="000000"/>
        </w:pBdr>
        <w:spacing w:after="0" w:line="253" w:lineRule="atLeast"/>
        <w:jc w:val="both"/>
      </w:pPr>
      <w:r>
        <w:rPr>
          <w:rFonts w:ascii="Times New Roman" w:eastAsia="Times New Roman" w:hAnsi="Times New Roman" w:cs="Times New Roman"/>
          <w:b/>
          <w:color w:val="000000"/>
          <w:sz w:val="28"/>
          <w:highlight w:val="white"/>
        </w:rPr>
        <w:t> </w:t>
      </w:r>
      <w:r>
        <w:rPr>
          <w:rFonts w:ascii="Times New Roman" w:eastAsia="Times New Roman" w:hAnsi="Times New Roman" w:cs="Times New Roman"/>
          <w:b/>
          <w:color w:val="000000"/>
          <w:sz w:val="28"/>
        </w:rPr>
        <w:t xml:space="preserve">   Ғылыми-инновациялық қызмет жөніндегі  </w:t>
      </w:r>
    </w:p>
    <w:p w14:paraId="5D4EB0FE" w14:textId="77777777" w:rsidR="00727FE1" w:rsidRDefault="00000000">
      <w:pPr>
        <w:pBdr>
          <w:top w:val="none" w:sz="4" w:space="0" w:color="000000"/>
          <w:left w:val="none" w:sz="4" w:space="0" w:color="000000"/>
          <w:bottom w:val="none" w:sz="4" w:space="0" w:color="000000"/>
          <w:right w:val="none" w:sz="4" w:space="0" w:color="000000"/>
        </w:pBdr>
        <w:shd w:val="clear" w:color="FFFFFF" w:fill="FFFFFF"/>
        <w:tabs>
          <w:tab w:val="left" w:pos="851"/>
        </w:tabs>
        <w:spacing w:after="0" w:line="253" w:lineRule="atLeast"/>
        <w:ind w:firstLine="283"/>
      </w:pPr>
      <w:r>
        <w:rPr>
          <w:rFonts w:ascii="Times New Roman" w:eastAsia="Times New Roman" w:hAnsi="Times New Roman" w:cs="Times New Roman"/>
          <w:b/>
          <w:color w:val="000000"/>
          <w:sz w:val="28"/>
        </w:rPr>
        <w:t xml:space="preserve">Басқарма мүшесі - проректор </w:t>
      </w:r>
      <w:r>
        <w:rPr>
          <w:rFonts w:ascii="Times New Roman" w:eastAsia="Times New Roman" w:hAnsi="Times New Roman" w:cs="Times New Roman"/>
          <w:b/>
          <w:color w:val="000000"/>
          <w:sz w:val="28"/>
        </w:rPr>
        <w:tab/>
      </w:r>
      <w:r>
        <w:rPr>
          <w:rFonts w:ascii="Times New Roman" w:eastAsia="Times New Roman" w:hAnsi="Times New Roman" w:cs="Times New Roman"/>
          <w:b/>
          <w:color w:val="000000"/>
          <w:sz w:val="28"/>
        </w:rPr>
        <w:tab/>
        <w:t>                              Ж.Н. Айтжанова</w:t>
      </w:r>
    </w:p>
    <w:p w14:paraId="2EE8EF8B" w14:textId="77777777" w:rsidR="00727FE1" w:rsidRDefault="00000000">
      <w:pPr>
        <w:pBdr>
          <w:top w:val="none" w:sz="4" w:space="0" w:color="000000"/>
          <w:left w:val="none" w:sz="4" w:space="0" w:color="000000"/>
          <w:bottom w:val="none" w:sz="4" w:space="0" w:color="000000"/>
          <w:right w:val="none" w:sz="4" w:space="0" w:color="000000"/>
        </w:pBdr>
        <w:spacing w:after="0" w:line="253" w:lineRule="atLeast"/>
        <w:ind w:firstLine="283"/>
        <w:jc w:val="both"/>
      </w:pPr>
      <w:r>
        <w:rPr>
          <w:rFonts w:ascii="Times New Roman" w:eastAsia="Times New Roman" w:hAnsi="Times New Roman" w:cs="Times New Roman"/>
          <w:color w:val="000000"/>
          <w:sz w:val="28"/>
        </w:rPr>
        <w:t> </w:t>
      </w:r>
    </w:p>
    <w:p w14:paraId="393A7738" w14:textId="77777777" w:rsidR="00727FE1" w:rsidRDefault="00000000">
      <w:pPr>
        <w:pBdr>
          <w:top w:val="none" w:sz="4" w:space="0" w:color="000000"/>
          <w:left w:val="none" w:sz="4" w:space="0" w:color="000000"/>
          <w:bottom w:val="none" w:sz="4" w:space="0" w:color="000000"/>
          <w:right w:val="none" w:sz="4" w:space="0" w:color="000000"/>
        </w:pBdr>
        <w:tabs>
          <w:tab w:val="left" w:pos="851"/>
        </w:tabs>
        <w:spacing w:after="0" w:line="235" w:lineRule="atLeast"/>
        <w:ind w:firstLine="283"/>
        <w:jc w:val="both"/>
      </w:pPr>
      <w:r>
        <w:rPr>
          <w:rFonts w:ascii="Times New Roman" w:eastAsia="Times New Roman" w:hAnsi="Times New Roman" w:cs="Times New Roman"/>
          <w:i/>
          <w:color w:val="000000"/>
        </w:rPr>
        <w:t>Орын.: Ғалым хатшы Хомпыш Х.</w:t>
      </w:r>
    </w:p>
    <w:p w14:paraId="12FC8360" w14:textId="77777777" w:rsidR="00727FE1" w:rsidRDefault="00000000">
      <w:pPr>
        <w:pBdr>
          <w:top w:val="none" w:sz="4" w:space="0" w:color="000000"/>
          <w:left w:val="none" w:sz="4" w:space="0" w:color="000000"/>
          <w:bottom w:val="none" w:sz="4" w:space="0" w:color="000000"/>
          <w:right w:val="none" w:sz="4" w:space="0" w:color="000000"/>
        </w:pBdr>
        <w:tabs>
          <w:tab w:val="left" w:pos="851"/>
        </w:tabs>
        <w:spacing w:after="0" w:line="235" w:lineRule="atLeast"/>
        <w:ind w:firstLine="283"/>
        <w:jc w:val="both"/>
      </w:pPr>
      <w:r>
        <w:rPr>
          <w:rFonts w:ascii="Times New Roman" w:eastAsia="Times New Roman" w:hAnsi="Times New Roman" w:cs="Times New Roman"/>
          <w:i/>
          <w:color w:val="000000"/>
        </w:rPr>
        <w:t>Тел. 8 701 418 48 63</w:t>
      </w:r>
    </w:p>
    <w:p w14:paraId="7C48C028" w14:textId="77777777" w:rsidR="00727FE1" w:rsidRDefault="00727FE1">
      <w:pPr>
        <w:pBdr>
          <w:top w:val="none" w:sz="4" w:space="0" w:color="000000"/>
          <w:left w:val="none" w:sz="4" w:space="0" w:color="000000"/>
          <w:bottom w:val="none" w:sz="4" w:space="0" w:color="000000"/>
          <w:right w:val="none" w:sz="4" w:space="0" w:color="000000"/>
        </w:pBdr>
        <w:spacing w:after="0"/>
        <w:jc w:val="center"/>
      </w:pPr>
    </w:p>
    <w:p w14:paraId="0E00A6E9" w14:textId="77777777" w:rsidR="00727FE1" w:rsidRDefault="00727FE1">
      <w:pPr>
        <w:pStyle w:val="af7"/>
        <w:jc w:val="right"/>
      </w:pPr>
    </w:p>
    <w:p w14:paraId="4A0FED2B" w14:textId="77777777" w:rsidR="00727FE1" w:rsidRDefault="00727FE1">
      <w:pPr>
        <w:spacing w:after="0" w:line="240" w:lineRule="auto"/>
        <w:rPr>
          <w:rFonts w:ascii="Times New Roman" w:eastAsia="Times New Roman" w:hAnsi="Times New Roman" w:cs="Times New Roman"/>
          <w:sz w:val="28"/>
        </w:rPr>
      </w:pPr>
    </w:p>
    <w:p w14:paraId="600A711F" w14:textId="77777777" w:rsidR="00727FE1" w:rsidRDefault="00727FE1">
      <w:pPr>
        <w:spacing w:after="0" w:line="240" w:lineRule="auto"/>
        <w:rPr>
          <w:rFonts w:ascii="Times New Roman" w:eastAsia="Times New Roman" w:hAnsi="Times New Roman" w:cs="Times New Roman"/>
          <w:sz w:val="28"/>
        </w:rPr>
      </w:pPr>
    </w:p>
    <w:sectPr w:rsidR="00727FE1">
      <w:pgSz w:w="11906" w:h="16838"/>
      <w:pgMar w:top="851"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A8299" w14:textId="77777777" w:rsidR="003F75B6" w:rsidRDefault="003F75B6">
      <w:pPr>
        <w:spacing w:after="0" w:line="240" w:lineRule="auto"/>
      </w:pPr>
      <w:r>
        <w:separator/>
      </w:r>
    </w:p>
  </w:endnote>
  <w:endnote w:type="continuationSeparator" w:id="0">
    <w:p w14:paraId="56A71AA8" w14:textId="77777777" w:rsidR="003F75B6" w:rsidRDefault="003F7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2C652" w14:textId="77777777" w:rsidR="003F75B6" w:rsidRDefault="003F75B6">
      <w:pPr>
        <w:spacing w:after="0" w:line="240" w:lineRule="auto"/>
      </w:pPr>
      <w:r>
        <w:separator/>
      </w:r>
    </w:p>
  </w:footnote>
  <w:footnote w:type="continuationSeparator" w:id="0">
    <w:p w14:paraId="533FAF32" w14:textId="77777777" w:rsidR="003F75B6" w:rsidRDefault="003F75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FE1"/>
    <w:rsid w:val="003F75B6"/>
    <w:rsid w:val="00727FE1"/>
    <w:rsid w:val="00F94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71AB0"/>
  <w15:docId w15:val="{D4B5AC72-8EC9-401B-ABB6-3291F9ADC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sz w:val="40"/>
      <w:szCs w:val="40"/>
    </w:rPr>
  </w:style>
  <w:style w:type="paragraph" w:styleId="2">
    <w:name w:val="heading 2"/>
    <w:basedOn w:val="a"/>
    <w:next w:val="a"/>
    <w:link w:val="20"/>
    <w:uiPriority w:val="9"/>
    <w:unhideWhenUsed/>
    <w:qFormat/>
    <w:pPr>
      <w:keepNext/>
      <w:keepLines/>
      <w:spacing w:before="360"/>
      <w:outlineLvl w:val="1"/>
    </w:pPr>
    <w:rPr>
      <w:sz w:val="34"/>
    </w:rPr>
  </w:style>
  <w:style w:type="paragraph" w:styleId="3">
    <w:name w:val="heading 3"/>
    <w:basedOn w:val="a"/>
    <w:next w:val="a"/>
    <w:link w:val="30"/>
    <w:uiPriority w:val="9"/>
    <w:unhideWhenUsed/>
    <w:qFormat/>
    <w:pPr>
      <w:keepNext/>
      <w:keepLines/>
      <w:spacing w:before="320"/>
      <w:outlineLvl w:val="2"/>
    </w:pPr>
    <w:rPr>
      <w:sz w:val="30"/>
      <w:szCs w:val="30"/>
    </w:rPr>
  </w:style>
  <w:style w:type="paragraph" w:styleId="4">
    <w:name w:val="heading 4"/>
    <w:basedOn w:val="a"/>
    <w:next w:val="a"/>
    <w:link w:val="40"/>
    <w:uiPriority w:val="9"/>
    <w:unhideWhenUsed/>
    <w:qFormat/>
    <w:pPr>
      <w:keepNext/>
      <w:keepLines/>
      <w:spacing w:before="320"/>
      <w:outlineLvl w:val="3"/>
    </w:pPr>
    <w:rPr>
      <w:b/>
      <w:bCs/>
      <w:sz w:val="26"/>
      <w:szCs w:val="26"/>
    </w:rPr>
  </w:style>
  <w:style w:type="paragraph" w:styleId="5">
    <w:name w:val="heading 5"/>
    <w:basedOn w:val="a"/>
    <w:next w:val="a"/>
    <w:link w:val="50"/>
    <w:uiPriority w:val="9"/>
    <w:unhideWhenUsed/>
    <w:qFormat/>
    <w:pPr>
      <w:keepNext/>
      <w:keepLines/>
      <w:spacing w:before="320"/>
      <w:outlineLvl w:val="4"/>
    </w:pPr>
    <w:rPr>
      <w:b/>
      <w:bCs/>
      <w:sz w:val="24"/>
      <w:szCs w:val="24"/>
    </w:rPr>
  </w:style>
  <w:style w:type="paragraph" w:styleId="6">
    <w:name w:val="heading 6"/>
    <w:basedOn w:val="a"/>
    <w:next w:val="a"/>
    <w:link w:val="60"/>
    <w:uiPriority w:val="9"/>
    <w:unhideWhenUsed/>
    <w:qFormat/>
    <w:pPr>
      <w:keepNext/>
      <w:keepLines/>
      <w:spacing w:before="320"/>
      <w:outlineLvl w:val="5"/>
    </w:pPr>
    <w:rPr>
      <w:b/>
      <w:bCs/>
    </w:rPr>
  </w:style>
  <w:style w:type="paragraph" w:styleId="7">
    <w:name w:val="heading 7"/>
    <w:basedOn w:val="a"/>
    <w:next w:val="a"/>
    <w:link w:val="70"/>
    <w:uiPriority w:val="9"/>
    <w:unhideWhenUsed/>
    <w:qFormat/>
    <w:pPr>
      <w:keepNext/>
      <w:keepLines/>
      <w:spacing w:before="320"/>
      <w:outlineLvl w:val="6"/>
    </w:pPr>
    <w:rPr>
      <w:b/>
      <w:bCs/>
      <w:i/>
      <w:iCs/>
    </w:rPr>
  </w:style>
  <w:style w:type="paragraph" w:styleId="8">
    <w:name w:val="heading 8"/>
    <w:basedOn w:val="a"/>
    <w:next w:val="a"/>
    <w:link w:val="80"/>
    <w:uiPriority w:val="9"/>
    <w:unhideWhenUsed/>
    <w:qFormat/>
    <w:pPr>
      <w:keepNext/>
      <w:keepLines/>
      <w:spacing w:before="320"/>
      <w:outlineLvl w:val="7"/>
    </w:pPr>
    <w:rPr>
      <w:i/>
      <w:iCs/>
    </w:rPr>
  </w:style>
  <w:style w:type="paragraph" w:styleId="9">
    <w:name w:val="heading 9"/>
    <w:basedOn w:val="a"/>
    <w:next w:val="a"/>
    <w:link w:val="90"/>
    <w:uiPriority w:val="9"/>
    <w:unhideWhenUsed/>
    <w:qFormat/>
    <w:pPr>
      <w:keepNext/>
      <w:keepLines/>
      <w:spacing w:before="320"/>
      <w:outlineLvl w:val="8"/>
    </w:pPr>
    <w:rPr>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Заголовок Знак"/>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ad">
    <w:name w:val="caption"/>
    <w:basedOn w:val="a"/>
    <w:next w:val="a"/>
    <w:uiPriority w:val="35"/>
    <w:semiHidden/>
    <w:unhideWhenUsed/>
    <w:qFormat/>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FFFFFF"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EEBF6" w:themeFill="accent1" w:themeFillTint="32"/>
      </w:tcPr>
    </w:tblStylePr>
    <w:tblStylePr w:type="band1Horz">
      <w:rPr>
        <w:rFonts w:ascii="Arial" w:hAnsi="Arial"/>
        <w:color w:val="404040"/>
        <w:sz w:val="22"/>
      </w:rPr>
      <w:tblPr/>
      <w:tcPr>
        <w:shd w:val="clear" w:color="FFFFFF"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1" w:themeFillTint="34"/>
    </w:tblPr>
    <w:tblStylePr w:type="firstRow">
      <w:rPr>
        <w:rFonts w:ascii="Arial" w:hAnsi="Arial"/>
        <w:b/>
        <w:color w:val="FFFFFF"/>
        <w:sz w:val="22"/>
      </w:rPr>
      <w:tblPr/>
      <w:tcPr>
        <w:shd w:val="clear" w:color="FFFFFF" w:fill="5B9BD5" w:themeFill="accent1"/>
      </w:tcPr>
    </w:tblStylePr>
    <w:tblStylePr w:type="lastRow">
      <w:rPr>
        <w:rFonts w:ascii="Arial" w:hAnsi="Arial"/>
        <w:b/>
        <w:color w:val="FFFFFF"/>
        <w:sz w:val="22"/>
      </w:rPr>
      <w:tblPr/>
      <w:tcPr>
        <w:tcBorders>
          <w:top w:val="single" w:sz="4" w:space="0" w:color="FFFFFF" w:themeColor="light1"/>
        </w:tcBorders>
        <w:shd w:val="clear" w:color="FFFFFF" w:fill="5B9BD5" w:themeFill="accent1"/>
      </w:tcPr>
    </w:tblStylePr>
    <w:tblStylePr w:type="firstCol">
      <w:rPr>
        <w:rFonts w:ascii="Arial" w:hAnsi="Arial"/>
        <w:b/>
        <w:color w:val="FFFFFF"/>
        <w:sz w:val="22"/>
      </w:rPr>
      <w:tblPr/>
      <w:tcPr>
        <w:shd w:val="clear" w:color="FFFFFF" w:fill="5B9BD5" w:themeFill="accent1"/>
      </w:tcPr>
    </w:tblStylePr>
    <w:tblStylePr w:type="lastCol">
      <w:rPr>
        <w:rFonts w:ascii="Arial" w:hAnsi="Arial"/>
        <w:b/>
        <w:color w:val="FFFFFF"/>
        <w:sz w:val="22"/>
      </w:rPr>
      <w:tblPr/>
      <w:tcPr>
        <w:shd w:val="clear" w:color="FFFFFF" w:fill="5B9BD5" w:themeFill="accent1"/>
      </w:tcPr>
    </w:tblStylePr>
    <w:tblStylePr w:type="band1Vert">
      <w:tblPr/>
      <w:tcPr>
        <w:shd w:val="clear" w:color="FFFFFF" w:fill="B3D0EB" w:themeFill="accent1" w:themeFillTint="75"/>
      </w:tcPr>
    </w:tblStylePr>
    <w:tblStylePr w:type="band1Horz">
      <w:tblPr/>
      <w:tcPr>
        <w:shd w:val="clear" w:color="FFFFFF"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5" w:themeFillTint="34"/>
    </w:tblPr>
    <w:tblStylePr w:type="firstRow">
      <w:rPr>
        <w:rFonts w:ascii="Arial" w:hAnsi="Arial"/>
        <w:b/>
        <w:color w:val="FFFFFF"/>
        <w:sz w:val="22"/>
      </w:rPr>
      <w:tblPr/>
      <w:tcPr>
        <w:shd w:val="clear" w:color="FFFFFF" w:fill="4472C4" w:themeFill="accent5"/>
      </w:tcPr>
    </w:tblStylePr>
    <w:tblStylePr w:type="lastRow">
      <w:rPr>
        <w:rFonts w:ascii="Arial" w:hAnsi="Arial"/>
        <w:b/>
        <w:color w:val="FFFFFF"/>
        <w:sz w:val="22"/>
      </w:rPr>
      <w:tblPr/>
      <w:tcPr>
        <w:tcBorders>
          <w:top w:val="single" w:sz="4" w:space="0" w:color="FFFFFF" w:themeColor="light1"/>
        </w:tcBorders>
        <w:shd w:val="clear" w:color="FFFFFF" w:fill="4472C4" w:themeFill="accent5"/>
      </w:tcPr>
    </w:tblStylePr>
    <w:tblStylePr w:type="firstCol">
      <w:rPr>
        <w:rFonts w:ascii="Arial" w:hAnsi="Arial"/>
        <w:b/>
        <w:color w:val="FFFFFF"/>
        <w:sz w:val="22"/>
      </w:rPr>
      <w:tblPr/>
      <w:tcPr>
        <w:shd w:val="clear" w:color="FFFFFF" w:fill="4472C4" w:themeFill="accent5"/>
      </w:tcPr>
    </w:tblStylePr>
    <w:tblStylePr w:type="lastCol">
      <w:rPr>
        <w:rFonts w:ascii="Arial" w:hAnsi="Arial"/>
        <w:b/>
        <w:color w:val="FFFFFF"/>
        <w:sz w:val="22"/>
      </w:rPr>
      <w:tblPr/>
      <w:tcPr>
        <w:shd w:val="clear" w:color="FFFFFF" w:fill="4472C4" w:themeFill="accent5"/>
      </w:tcPr>
    </w:tblStylePr>
    <w:tblStylePr w:type="band1Vert">
      <w:tblPr/>
      <w:tcPr>
        <w:shd w:val="clear" w:color="FFFFFF" w:fill="A9BEE4" w:themeFill="accent5" w:themeFillTint="75"/>
      </w:tcPr>
    </w:tblStylePr>
    <w:tblStylePr w:type="band1Horz">
      <w:tblPr/>
      <w:tcPr>
        <w:shd w:val="clear" w:color="FFFFFF"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E1EFD8" w:themeFill="accent6" w:themeFillTint="34"/>
      </w:tcPr>
    </w:tblStylePr>
    <w:tblStylePr w:type="band1Horz">
      <w:rPr>
        <w:rFonts w:ascii="Arial" w:hAnsi="Arial"/>
        <w:color w:val="254175" w:themeColor="accent5" w:themeShade="95"/>
        <w:sz w:val="22"/>
      </w:rPr>
      <w:tblPr/>
      <w:tcPr>
        <w:shd w:val="clear" w:color="FFFFFF"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FFFFFF"/>
      </w:tc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FFFFFF"/>
      </w:tc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1" w:themeFillTint="40"/>
      </w:tcPr>
    </w:tblStylePr>
    <w:tblStylePr w:type="band1Horz">
      <w:tblPr/>
      <w:tcPr>
        <w:shd w:val="clear" w:color="FFFFFF"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5" w:themeFillTint="40"/>
      </w:tcPr>
    </w:tblStylePr>
    <w:tblStylePr w:type="band1Horz">
      <w:tblPr/>
      <w:tcPr>
        <w:shd w:val="clear" w:color="FFFFFF"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FFFFFF"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FFFFFF"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FFFFFF"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FFFFFF"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FFFFFF"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5B9BD5" w:themeFill="accent1"/>
      </w:tcPr>
    </w:tblStylePr>
    <w:tblStylePr w:type="band2Horz">
      <w:tblPr/>
      <w:tcPr>
        <w:tcBorders>
          <w:top w:val="single" w:sz="4" w:space="0" w:color="FFFFFF" w:themeColor="light1"/>
          <w:bottom w:val="single" w:sz="4" w:space="0" w:color="FFFFFF" w:themeColor="light1"/>
        </w:tcBorders>
        <w:shd w:val="clear" w:color="FFFFFF"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FFFFFF"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FFFFFF"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8DA9DB" w:themeFill="accent5" w:themeFillTint="9A"/>
      </w:tcPr>
    </w:tblStylePr>
    <w:tblStylePr w:type="band2Horz">
      <w:tblPr/>
      <w:tcPr>
        <w:tcBorders>
          <w:top w:val="single" w:sz="4" w:space="0" w:color="FFFFFF" w:themeColor="light1"/>
          <w:bottom w:val="single" w:sz="4" w:space="0" w:color="FFFFFF" w:themeColor="light1"/>
        </w:tcBorders>
        <w:shd w:val="clear" w:color="FFFFFF"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FFFFFF"/>
      </w:tc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FFFFFF"/>
      </w:tc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val="ru-RU"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val="ru-RU"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val="ru-RU"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val="ru-RU"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val="ru-RU"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val="ru-RU"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val="ru-RU"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No Spacing"/>
    <w:basedOn w:val="a"/>
    <w:uiPriority w:val="1"/>
    <w:qFormat/>
    <w:pPr>
      <w:spacing w:after="0" w:line="240" w:lineRule="auto"/>
    </w:pPr>
  </w:style>
  <w:style w:type="paragraph" w:styleId="af8">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Блембаева Айгерим</cp:lastModifiedBy>
  <cp:revision>22</cp:revision>
  <dcterms:created xsi:type="dcterms:W3CDTF">2023-09-22T05:46:00Z</dcterms:created>
  <dcterms:modified xsi:type="dcterms:W3CDTF">2023-09-22T05:46:00Z</dcterms:modified>
</cp:coreProperties>
</file>